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Pr="00061175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4228E" w:rsidRPr="00061175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муниципальном </w:t>
      </w:r>
      <w:r w:rsidR="005D106B"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«Забайкальский район»</w:t>
      </w:r>
      <w:r w:rsidR="00C1277A"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39" w:rsidRPr="00061175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0335"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277A" w:rsidRPr="0006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Pr="00061175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Pr="00061175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</w:t>
      </w:r>
      <w:r w:rsidR="001C21D7"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«Забайкальский район» в 202</w:t>
      </w:r>
      <w:r w:rsidR="00DC0335"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</w:t>
      </w:r>
      <w:r w:rsidR="00DC0335"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процедур</w:t>
      </w:r>
      <w:r w:rsidR="00DC0335"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19A" w:rsidRPr="006827DE" w:rsidRDefault="0054228E" w:rsidP="0068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7DE" w:rsidRPr="00061175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6827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6827DE">
        <w:rPr>
          <w:rFonts w:ascii="Times New Roman" w:eastAsia="Times New Roman" w:hAnsi="Times New Roman"/>
          <w:sz w:val="28"/>
          <w:szCs w:val="28"/>
          <w:lang w:eastAsia="ru-RU"/>
        </w:rPr>
        <w:t>ных нормативных правовых актов муниципального района «Забайкальский район»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319A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</w:t>
      </w:r>
      <w:r w:rsidR="00BF2E7D" w:rsidRPr="008B08AA">
        <w:rPr>
          <w:rFonts w:ascii="Times New Roman" w:hAnsi="Times New Roman" w:cs="Times New Roman"/>
          <w:b w:val="0"/>
          <w:sz w:val="28"/>
          <w:szCs w:val="28"/>
        </w:rPr>
        <w:t>июн</w:t>
      </w:r>
      <w:r w:rsidRPr="008B08A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№ 298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4319A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 правовых актов муниципального района "Забайкальский район", затрагивающих вопросы осуществления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деятельности.</w:t>
      </w:r>
      <w:proofErr w:type="gramEnd"/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1C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муниципального района «Забайкальский район» </w:t>
      </w:r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zabaikalskadm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973F3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C21D7" w:rsidRPr="00061175">
        <w:rPr>
          <w:rFonts w:ascii="Times New Roman" w:hAnsi="Times New Roman" w:cs="Times New Roman"/>
          <w:b w:val="0"/>
          <w:sz w:val="28"/>
          <w:szCs w:val="28"/>
        </w:rPr>
        <w:t>подразделе «Оценка регулирующего воздействия», раздела</w:t>
      </w:r>
      <w:r w:rsidRPr="00061175">
        <w:rPr>
          <w:rFonts w:ascii="Times New Roman" w:hAnsi="Times New Roman" w:cs="Times New Roman"/>
          <w:b w:val="0"/>
          <w:sz w:val="28"/>
          <w:szCs w:val="28"/>
        </w:rPr>
        <w:t xml:space="preserve"> «Развитие предпринимательства»</w:t>
      </w:r>
      <w:r w:rsidR="001C21D7" w:rsidRPr="0006117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F2E7D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 проведения экспертизы муниципальных нормативных правовых актов муниципального района «Забайкальский район» на 20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2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включено 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нормативных правовых акт</w:t>
      </w:r>
      <w:r w:rsidR="00433EF0"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6827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которым была проведена экспе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ртиза и подготовлены заключения.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было подготовлено:</w:t>
      </w:r>
    </w:p>
    <w:p w:rsidR="004B257C" w:rsidRDefault="00BF2E7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DC033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содержащих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</w:t>
      </w:r>
      <w:r w:rsidR="000611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319A" w:rsidRPr="00061175" w:rsidRDefault="004B257C" w:rsidP="00061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257C" w:rsidRDefault="004B257C" w:rsidP="00061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к докладу о развитии и результатах процедуры оценки регулирующего воздействия в муниципальном районе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DC03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DC03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  <w:r w:rsidR="00CE318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.12.202</w:t>
            </w:r>
            <w:r w:rsidR="00DC033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E318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spellEnd"/>
            <w:r w:rsidR="00CE318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891CD5" w:rsidRDefault="00891CD5" w:rsidP="00891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</w:t>
            </w:r>
            <w:proofErr w:type="gramEnd"/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правовых актов муниципального района "Забайкальский район", затрагивающих вопросы осуществления предпринимательской и инвестиционной деятельности 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</w:t>
            </w:r>
            <w:proofErr w:type="gramStart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20 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календарных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Pr="00061175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30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</w:p>
          <w:p w:rsid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8B0FC9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За 202</w:t>
            </w:r>
            <w:r w:rsidR="00433EF0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1</w:t>
            </w:r>
            <w:r w:rsidRPr="008B0FC9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год проводилась экспертиза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="00433EF0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4</w:t>
            </w:r>
            <w:r w:rsidRPr="008B0FC9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="0091623E"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муниципальных нормативн</w:t>
            </w:r>
            <w:r w:rsidR="00FA0804"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ых</w:t>
            </w:r>
            <w:r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правовых актов</w:t>
            </w:r>
          </w:p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A676F7" w:rsidRPr="00731D85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51230A" w:rsidRPr="00A676F7" w:rsidRDefault="0051230A" w:rsidP="008B08A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</w:p>
          <w:p w:rsidR="0051230A" w:rsidRPr="0051230A" w:rsidRDefault="00A676F7" w:rsidP="0051230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</w:t>
            </w:r>
            <w:r w:rsidR="0051230A"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230A" w:rsidRPr="00733210" w:rsidRDefault="0051230A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6F7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Соглашение от 26.11.2019 года «О взаимодействии между администрацией муниципального района "Забайкальский район" и Уполномоченным по защите прав </w:t>
            </w:r>
            <w:r w:rsidR="00605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предпринимателей в Забайкальском крае при проведении процедуры оценки регулярного воздействия»</w:t>
            </w:r>
          </w:p>
          <w:p w:rsidR="00605F34" w:rsidRPr="00605F34" w:rsidRDefault="00605F34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D6" w:rsidRDefault="00A652D6" w:rsidP="00214439">
      <w:pPr>
        <w:spacing w:after="0" w:line="240" w:lineRule="auto"/>
      </w:pPr>
      <w:r>
        <w:separator/>
      </w:r>
    </w:p>
  </w:endnote>
  <w:endnote w:type="continuationSeparator" w:id="0">
    <w:p w:rsidR="00A652D6" w:rsidRDefault="00A652D6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D6" w:rsidRDefault="00A652D6" w:rsidP="00214439">
      <w:pPr>
        <w:spacing w:after="0" w:line="240" w:lineRule="auto"/>
      </w:pPr>
      <w:r>
        <w:separator/>
      </w:r>
    </w:p>
  </w:footnote>
  <w:footnote w:type="continuationSeparator" w:id="0">
    <w:p w:rsidR="00A652D6" w:rsidRDefault="00A652D6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39"/>
    <w:rsid w:val="00001869"/>
    <w:rsid w:val="00015E0B"/>
    <w:rsid w:val="000458D5"/>
    <w:rsid w:val="00061175"/>
    <w:rsid w:val="0009643D"/>
    <w:rsid w:val="0019073C"/>
    <w:rsid w:val="001C21D7"/>
    <w:rsid w:val="00214439"/>
    <w:rsid w:val="0028521A"/>
    <w:rsid w:val="003105F5"/>
    <w:rsid w:val="0033735E"/>
    <w:rsid w:val="0035351E"/>
    <w:rsid w:val="003A7656"/>
    <w:rsid w:val="003C3E35"/>
    <w:rsid w:val="003E7B0E"/>
    <w:rsid w:val="00433EF0"/>
    <w:rsid w:val="004776AC"/>
    <w:rsid w:val="004B257C"/>
    <w:rsid w:val="004F713D"/>
    <w:rsid w:val="0051230A"/>
    <w:rsid w:val="005210AB"/>
    <w:rsid w:val="005232DE"/>
    <w:rsid w:val="0054228E"/>
    <w:rsid w:val="0056462A"/>
    <w:rsid w:val="005D106B"/>
    <w:rsid w:val="00605F34"/>
    <w:rsid w:val="006720CB"/>
    <w:rsid w:val="006827DE"/>
    <w:rsid w:val="006C0D62"/>
    <w:rsid w:val="00701CF7"/>
    <w:rsid w:val="007144E9"/>
    <w:rsid w:val="00731D85"/>
    <w:rsid w:val="00815FD8"/>
    <w:rsid w:val="00835687"/>
    <w:rsid w:val="00842151"/>
    <w:rsid w:val="00854678"/>
    <w:rsid w:val="008831C6"/>
    <w:rsid w:val="008867E9"/>
    <w:rsid w:val="00891B04"/>
    <w:rsid w:val="00891CD5"/>
    <w:rsid w:val="008B08AA"/>
    <w:rsid w:val="008B0FC9"/>
    <w:rsid w:val="0091623E"/>
    <w:rsid w:val="00926F32"/>
    <w:rsid w:val="00943518"/>
    <w:rsid w:val="00973F30"/>
    <w:rsid w:val="00A2681C"/>
    <w:rsid w:val="00A34DA2"/>
    <w:rsid w:val="00A652D6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49E6"/>
    <w:rsid w:val="00C76D7D"/>
    <w:rsid w:val="00CE3184"/>
    <w:rsid w:val="00D14DD1"/>
    <w:rsid w:val="00DC0335"/>
    <w:rsid w:val="00EB7BC5"/>
    <w:rsid w:val="00EC3C64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7045-A4A5-498E-BF90-BFE9576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2021-12-13T01:06:00Z</cp:lastPrinted>
  <dcterms:created xsi:type="dcterms:W3CDTF">2019-01-28T05:47:00Z</dcterms:created>
  <dcterms:modified xsi:type="dcterms:W3CDTF">2021-12-13T01:09:00Z</dcterms:modified>
</cp:coreProperties>
</file>